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23B39412"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8A7D8A">
        <w:rPr>
          <w:rFonts w:ascii="Arial" w:hAnsi="Arial" w:cs="Arial"/>
          <w:b/>
          <w:sz w:val="22"/>
          <w:szCs w:val="22"/>
        </w:rPr>
        <w:t>8</w:t>
      </w:r>
      <w:r w:rsidRPr="004E65B2">
        <w:rPr>
          <w:rFonts w:ascii="Arial" w:hAnsi="Arial" w:cs="Arial"/>
          <w:b/>
          <w:sz w:val="22"/>
          <w:szCs w:val="22"/>
        </w:rPr>
        <w:tab/>
        <w:t>S3-24</w:t>
      </w:r>
      <w:r w:rsidR="006F6D1F">
        <w:rPr>
          <w:rFonts w:ascii="Arial" w:hAnsi="Arial" w:cs="Arial"/>
          <w:b/>
          <w:sz w:val="22"/>
          <w:szCs w:val="22"/>
        </w:rPr>
        <w:t>386</w:t>
      </w:r>
      <w:r w:rsidR="00DC612E">
        <w:rPr>
          <w:rFonts w:ascii="Arial" w:hAnsi="Arial" w:cs="Arial"/>
          <w:b/>
          <w:sz w:val="22"/>
          <w:szCs w:val="22"/>
        </w:rPr>
        <w:t>6</w:t>
      </w:r>
    </w:p>
    <w:p w14:paraId="3A7BAEE1" w14:textId="4A81640E" w:rsidR="004E3939" w:rsidRPr="00D31981" w:rsidRDefault="008A7D8A" w:rsidP="00D31981">
      <w:pPr>
        <w:pStyle w:val="Header"/>
        <w:rPr>
          <w:sz w:val="22"/>
          <w:szCs w:val="22"/>
        </w:rPr>
      </w:pPr>
      <w:r>
        <w:rPr>
          <w:rFonts w:cs="Arial"/>
          <w:sz w:val="22"/>
          <w:szCs w:val="22"/>
        </w:rPr>
        <w:t>Hyderabad, India</w:t>
      </w:r>
      <w:r w:rsidR="00D31981" w:rsidRPr="004E65B2">
        <w:rPr>
          <w:rFonts w:cs="Arial"/>
          <w:sz w:val="22"/>
          <w:szCs w:val="22"/>
        </w:rPr>
        <w:t xml:space="preserve">  </w:t>
      </w:r>
      <w:r>
        <w:rPr>
          <w:rFonts w:cs="Arial"/>
          <w:sz w:val="22"/>
          <w:szCs w:val="22"/>
        </w:rPr>
        <w:t>14 – 18 October</w:t>
      </w:r>
      <w:r w:rsidR="00D31981" w:rsidRPr="004E65B2">
        <w:rPr>
          <w:rFonts w:cs="Arial"/>
          <w:sz w:val="22"/>
          <w:szCs w:val="22"/>
        </w:rPr>
        <w:t xml:space="preserve"> 2024</w:t>
      </w:r>
    </w:p>
    <w:p w14:paraId="35F0D332" w14:textId="77777777" w:rsidR="00B97703" w:rsidRDefault="00B97703">
      <w:pPr>
        <w:rPr>
          <w:rFonts w:ascii="Arial" w:hAnsi="Arial" w:cs="Arial"/>
        </w:rPr>
      </w:pPr>
    </w:p>
    <w:p w14:paraId="72E2ED64" w14:textId="3132C84A" w:rsidR="004E3939" w:rsidRPr="00DC612E"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6F6D1F">
        <w:rPr>
          <w:rFonts w:ascii="Arial" w:hAnsi="Arial" w:cs="Arial"/>
          <w:b/>
          <w:sz w:val="22"/>
          <w:szCs w:val="22"/>
        </w:rPr>
        <w:t>Reply-</w:t>
      </w:r>
      <w:r w:rsidR="006F6D1F" w:rsidRPr="004E3939">
        <w:rPr>
          <w:rFonts w:ascii="Arial" w:hAnsi="Arial" w:cs="Arial"/>
          <w:b/>
          <w:sz w:val="22"/>
          <w:szCs w:val="22"/>
        </w:rPr>
        <w:t xml:space="preserve">LS on </w:t>
      </w:r>
      <w:r w:rsidR="00DC612E" w:rsidRPr="00DC612E">
        <w:rPr>
          <w:rFonts w:ascii="Arial" w:hAnsi="Arial" w:cs="Arial"/>
          <w:b/>
          <w:sz w:val="22"/>
          <w:szCs w:val="22"/>
        </w:rPr>
        <w:t>CAPIF phase 3 security considerations</w:t>
      </w:r>
      <w:r w:rsidR="00DC612E" w:rsidRPr="00DC612E">
        <w:rPr>
          <w:rFonts w:ascii="Arial" w:hAnsi="Arial" w:cs="Arial"/>
          <w:b/>
          <w:sz w:val="22"/>
          <w:szCs w:val="22"/>
        </w:rPr>
        <w:tab/>
      </w:r>
    </w:p>
    <w:p w14:paraId="06BA196E" w14:textId="0FECB0CC" w:rsidR="00B97703" w:rsidRPr="00AD6792"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D6792">
        <w:rPr>
          <w:rFonts w:ascii="Arial" w:hAnsi="Arial" w:cs="Arial"/>
          <w:b/>
          <w:bCs/>
          <w:sz w:val="22"/>
          <w:szCs w:val="22"/>
        </w:rPr>
        <w:t xml:space="preserve">LS </w:t>
      </w:r>
      <w:r w:rsidR="00AD6792" w:rsidRPr="00AD6792">
        <w:rPr>
          <w:rFonts w:ascii="Arial" w:hAnsi="Arial" w:cs="Arial"/>
          <w:b/>
          <w:bCs/>
          <w:sz w:val="22"/>
          <w:szCs w:val="22"/>
        </w:rPr>
        <w:t>S3-</w:t>
      </w:r>
      <w:r w:rsidR="00AD6792" w:rsidRPr="00AD6792">
        <w:rPr>
          <w:rFonts w:ascii="Arial" w:hAnsi="Arial" w:cs="Arial"/>
          <w:b/>
          <w:bCs/>
          <w:sz w:val="22"/>
          <w:szCs w:val="22"/>
        </w:rPr>
        <w:t>2438</w:t>
      </w:r>
      <w:r w:rsidR="000E74D3">
        <w:rPr>
          <w:rFonts w:ascii="Arial" w:hAnsi="Arial" w:cs="Arial"/>
          <w:b/>
          <w:bCs/>
          <w:sz w:val="22"/>
          <w:szCs w:val="22"/>
        </w:rPr>
        <w:t>3</w:t>
      </w:r>
      <w:r w:rsidR="00DC612E">
        <w:rPr>
          <w:rFonts w:ascii="Arial" w:hAnsi="Arial" w:cs="Arial"/>
          <w:b/>
          <w:bCs/>
          <w:sz w:val="22"/>
          <w:szCs w:val="22"/>
        </w:rPr>
        <w:t>4</w:t>
      </w:r>
      <w:r w:rsidR="00AD6792" w:rsidRPr="00AD6792">
        <w:rPr>
          <w:rFonts w:ascii="Arial" w:hAnsi="Arial" w:cs="Arial"/>
          <w:b/>
          <w:bCs/>
          <w:sz w:val="22"/>
          <w:szCs w:val="22"/>
        </w:rPr>
        <w:t xml:space="preserve"> </w:t>
      </w:r>
      <w:r w:rsidRPr="00AD6792">
        <w:rPr>
          <w:rFonts w:ascii="Arial" w:hAnsi="Arial" w:cs="Arial"/>
          <w:b/>
          <w:bCs/>
          <w:sz w:val="22"/>
          <w:szCs w:val="22"/>
        </w:rPr>
        <w:t xml:space="preserve">on </w:t>
      </w:r>
      <w:r w:rsidR="00DC612E" w:rsidRPr="00DC612E">
        <w:rPr>
          <w:rFonts w:ascii="Arial" w:hAnsi="Arial" w:cs="Arial"/>
          <w:b/>
          <w:bCs/>
          <w:sz w:val="22"/>
          <w:szCs w:val="22"/>
        </w:rPr>
        <w:t>LS on CAPIF phase 3 security considerations</w:t>
      </w:r>
      <w:r w:rsidR="00DC612E" w:rsidRPr="00DC612E">
        <w:rPr>
          <w:rFonts w:ascii="Arial" w:hAnsi="Arial" w:cs="Arial"/>
          <w:b/>
          <w:bCs/>
          <w:sz w:val="22"/>
          <w:szCs w:val="22"/>
        </w:rPr>
        <w:tab/>
      </w:r>
      <w:r w:rsidR="000E74D3">
        <w:rPr>
          <w:rFonts w:ascii="Arial" w:hAnsi="Arial" w:cs="Arial"/>
          <w:b/>
          <w:bCs/>
          <w:sz w:val="22"/>
          <w:szCs w:val="22"/>
        </w:rPr>
        <w:t>from SA6</w:t>
      </w:r>
    </w:p>
    <w:p w14:paraId="2C6E4D6E" w14:textId="73F9978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C612E" w:rsidRPr="00B919A5">
        <w:rPr>
          <w:rFonts w:ascii="Arial" w:hAnsi="Arial" w:cs="Arial"/>
          <w:b/>
          <w:bCs/>
          <w:sz w:val="22"/>
          <w:szCs w:val="22"/>
        </w:rPr>
        <w:t>Release 1</w:t>
      </w:r>
      <w:r w:rsidR="00DC612E">
        <w:rPr>
          <w:rFonts w:ascii="Arial" w:hAnsi="Arial" w:cs="Arial"/>
          <w:b/>
          <w:bCs/>
          <w:sz w:val="22"/>
          <w:szCs w:val="22"/>
        </w:rPr>
        <w:t>9</w:t>
      </w:r>
    </w:p>
    <w:bookmarkEnd w:id="2"/>
    <w:bookmarkEnd w:id="3"/>
    <w:bookmarkEnd w:id="4"/>
    <w:p w14:paraId="1E9D3ED8" w14:textId="3A0BAA3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C612E" w:rsidRPr="004C5434">
        <w:rPr>
          <w:rFonts w:ascii="Arial" w:hAnsi="Arial" w:cs="Arial"/>
          <w:b/>
          <w:bCs/>
          <w:sz w:val="22"/>
          <w:szCs w:val="22"/>
        </w:rPr>
        <w:t>FS_CAPIF_Ph3-sec</w:t>
      </w:r>
    </w:p>
    <w:p w14:paraId="11809BB2" w14:textId="77777777" w:rsidR="00B97703" w:rsidRPr="004E3939" w:rsidRDefault="00B97703">
      <w:pPr>
        <w:spacing w:after="60"/>
        <w:ind w:left="1985" w:hanging="1985"/>
        <w:rPr>
          <w:rFonts w:ascii="Arial" w:hAnsi="Arial" w:cs="Arial"/>
          <w:b/>
          <w:sz w:val="22"/>
          <w:szCs w:val="22"/>
        </w:rPr>
      </w:pPr>
    </w:p>
    <w:p w14:paraId="0DE1AA1F" w14:textId="790B3FA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D6792" w:rsidRPr="007643E4">
        <w:rPr>
          <w:rFonts w:ascii="Arial" w:hAnsi="Arial" w:cs="Arial"/>
          <w:b/>
          <w:sz w:val="22"/>
          <w:szCs w:val="22"/>
        </w:rPr>
        <w:t>SA WG3</w:t>
      </w:r>
    </w:p>
    <w:p w14:paraId="2548326B" w14:textId="28BF9D2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E74D3">
        <w:rPr>
          <w:rFonts w:ascii="Arial" w:hAnsi="Arial" w:cs="Arial"/>
          <w:b/>
          <w:bCs/>
          <w:sz w:val="22"/>
          <w:szCs w:val="22"/>
          <w:lang w:val="fr-FR"/>
        </w:rPr>
        <w:t>SA6</w:t>
      </w:r>
    </w:p>
    <w:p w14:paraId="5DC2ED77" w14:textId="1DC983D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65A56DA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F1117">
        <w:rPr>
          <w:rFonts w:ascii="Arial" w:hAnsi="Arial" w:cs="Arial"/>
          <w:b/>
          <w:bCs/>
          <w:sz w:val="22"/>
          <w:szCs w:val="22"/>
        </w:rPr>
        <w:t>Zander Lei</w:t>
      </w:r>
    </w:p>
    <w:p w14:paraId="06AAC4F0" w14:textId="77777777" w:rsidR="004F1117" w:rsidRDefault="004F1117" w:rsidP="004F1117">
      <w:pPr>
        <w:spacing w:after="60"/>
        <w:ind w:left="1985"/>
        <w:rPr>
          <w:rFonts w:ascii="Arial" w:hAnsi="Arial" w:cs="Arial"/>
          <w:b/>
          <w:bCs/>
          <w:sz w:val="22"/>
          <w:szCs w:val="22"/>
        </w:rPr>
      </w:pPr>
      <w:r>
        <w:rPr>
          <w:rFonts w:ascii="Arial" w:hAnsi="Arial" w:cs="Arial"/>
          <w:b/>
          <w:bCs/>
          <w:sz w:val="22"/>
          <w:szCs w:val="22"/>
        </w:rPr>
        <w:t>lei.zhongding@huawei.com</w:t>
      </w:r>
    </w:p>
    <w:p w14:paraId="79C079F8" w14:textId="77777777" w:rsidR="004F1117" w:rsidRDefault="004F1117">
      <w:pPr>
        <w:spacing w:after="60"/>
        <w:ind w:left="1985" w:hanging="1985"/>
        <w:rPr>
          <w:rFonts w:ascii="Arial" w:hAnsi="Arial" w:cs="Arial"/>
          <w:b/>
          <w:bCs/>
          <w:sz w:val="22"/>
          <w:szCs w:val="22"/>
        </w:rPr>
      </w:pPr>
    </w:p>
    <w:p w14:paraId="53656583" w14:textId="177B8C42"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07B8EDFC" w:rsidR="00B97703" w:rsidRDefault="00B97703" w:rsidP="004F1117">
      <w:pPr>
        <w:spacing w:after="60"/>
        <w:ind w:left="1985" w:hanging="1985"/>
        <w:rPr>
          <w:rFonts w:ascii="Arial" w:hAnsi="Arial" w:cs="Arial"/>
          <w:bCs/>
        </w:rPr>
      </w:pPr>
      <w:r>
        <w:rPr>
          <w:rFonts w:ascii="Arial" w:hAnsi="Arial" w:cs="Arial"/>
          <w:b/>
        </w:rPr>
        <w:t>Attachments:</w:t>
      </w:r>
    </w:p>
    <w:p w14:paraId="7734673D" w14:textId="77777777" w:rsidR="00B97703" w:rsidRDefault="000F6242" w:rsidP="00B97703">
      <w:pPr>
        <w:pStyle w:val="Heading1"/>
      </w:pPr>
      <w:r>
        <w:t>1</w:t>
      </w:r>
      <w:r w:rsidR="002F1940">
        <w:tab/>
      </w:r>
      <w:r>
        <w:t>Overall description</w:t>
      </w:r>
    </w:p>
    <w:p w14:paraId="53C1D297" w14:textId="0E24168A" w:rsidR="00DC612E" w:rsidRDefault="00DC612E" w:rsidP="00DC612E">
      <w:pPr>
        <w:rPr>
          <w:iCs/>
        </w:rPr>
      </w:pPr>
      <w:r w:rsidRPr="003A027B">
        <w:rPr>
          <w:iCs/>
        </w:rPr>
        <w:t xml:space="preserve">SA3 </w:t>
      </w:r>
      <w:r w:rsidRPr="003129DD">
        <w:rPr>
          <w:iCs/>
        </w:rPr>
        <w:t xml:space="preserve">would like to thank SA6 for the LS on </w:t>
      </w:r>
      <w:r w:rsidRPr="007179A7">
        <w:rPr>
          <w:iCs/>
        </w:rPr>
        <w:t>CAPIF phase 3 security considerations</w:t>
      </w:r>
      <w:r w:rsidRPr="003129DD">
        <w:rPr>
          <w:iCs/>
        </w:rPr>
        <w:t>.</w:t>
      </w:r>
      <w:r>
        <w:rPr>
          <w:iCs/>
        </w:rPr>
        <w:t xml:space="preserve"> Before answering the detailed questions raised by SA6, SA3 would like to update that the following key issues have been included in the TR 33.700-22, for the security-aspect study of the CAPIF phase 3: </w:t>
      </w:r>
    </w:p>
    <w:p w14:paraId="4DB8CDAF" w14:textId="77777777" w:rsidR="00DC612E" w:rsidRDefault="00DC612E" w:rsidP="00DC612E">
      <w:pPr>
        <w:pStyle w:val="TOC2"/>
        <w:numPr>
          <w:ilvl w:val="0"/>
          <w:numId w:val="11"/>
        </w:numPr>
        <w:rPr>
          <w:rFonts w:asciiTheme="minorHAnsi" w:hAnsiTheme="minorHAnsi" w:cstheme="minorBidi"/>
          <w:noProof/>
          <w:kern w:val="2"/>
          <w:sz w:val="22"/>
          <w:szCs w:val="22"/>
          <w:lang w:val="en-US"/>
          <w14:ligatures w14:val="standardContextual"/>
        </w:rPr>
      </w:pPr>
      <w:r>
        <w:rPr>
          <w:noProof/>
        </w:rPr>
        <w:t xml:space="preserve">KI #1: Security of resource owner </w:t>
      </w:r>
      <w:r w:rsidRPr="000A4403">
        <w:rPr>
          <w:noProof/>
          <w:lang w:val="en-US" w:eastAsia="zh-CN"/>
        </w:rPr>
        <w:t xml:space="preserve">authorization </w:t>
      </w:r>
      <w:r>
        <w:rPr>
          <w:noProof/>
        </w:rPr>
        <w:t xml:space="preserve">management </w:t>
      </w:r>
      <w:r w:rsidRPr="000A4403">
        <w:rPr>
          <w:noProof/>
          <w:lang w:val="en-US" w:eastAsia="zh-CN"/>
        </w:rPr>
        <w:t>and CAPIF-8 reference point</w:t>
      </w:r>
    </w:p>
    <w:p w14:paraId="45B7A2D1" w14:textId="77777777" w:rsidR="00DC612E" w:rsidRDefault="00DC612E" w:rsidP="00DC612E">
      <w:pPr>
        <w:pStyle w:val="TOC3"/>
        <w:numPr>
          <w:ilvl w:val="1"/>
          <w:numId w:val="11"/>
        </w:numPr>
        <w:rPr>
          <w:rFonts w:asciiTheme="minorHAnsi" w:hAnsiTheme="minorHAnsi" w:cstheme="minorBidi"/>
          <w:noProof/>
          <w:kern w:val="2"/>
          <w:sz w:val="22"/>
          <w:szCs w:val="22"/>
          <w:lang w:val="en-US"/>
          <w14:ligatures w14:val="standardContextual"/>
        </w:rPr>
      </w:pPr>
      <w:r>
        <w:rPr>
          <w:noProof/>
        </w:rPr>
        <w:t>KI #1.1: CAPIF-8 reference point</w:t>
      </w:r>
    </w:p>
    <w:p w14:paraId="30EE0983" w14:textId="77777777" w:rsidR="00DC612E" w:rsidRDefault="00DC612E" w:rsidP="00DC612E">
      <w:pPr>
        <w:pStyle w:val="TOC3"/>
        <w:numPr>
          <w:ilvl w:val="1"/>
          <w:numId w:val="11"/>
        </w:numPr>
        <w:rPr>
          <w:rFonts w:asciiTheme="minorHAnsi" w:hAnsiTheme="minorHAnsi" w:cstheme="minorBidi"/>
          <w:noProof/>
          <w:kern w:val="2"/>
          <w:sz w:val="22"/>
          <w:szCs w:val="22"/>
          <w:lang w:val="en-US"/>
          <w14:ligatures w14:val="standardContextual"/>
        </w:rPr>
      </w:pPr>
      <w:r>
        <w:rPr>
          <w:noProof/>
        </w:rPr>
        <w:t>KI #1.2: Resource owner authorization management</w:t>
      </w:r>
    </w:p>
    <w:p w14:paraId="36EFBB69" w14:textId="77777777" w:rsidR="00DC612E" w:rsidRDefault="00DC612E" w:rsidP="00DC612E">
      <w:pPr>
        <w:pStyle w:val="TOC3"/>
        <w:numPr>
          <w:ilvl w:val="1"/>
          <w:numId w:val="11"/>
        </w:numPr>
        <w:rPr>
          <w:rFonts w:asciiTheme="minorHAnsi" w:hAnsiTheme="minorHAnsi" w:cstheme="minorBidi"/>
          <w:noProof/>
          <w:kern w:val="2"/>
          <w:sz w:val="22"/>
          <w:szCs w:val="22"/>
          <w:lang w:val="en-US"/>
          <w14:ligatures w14:val="standardContextual"/>
        </w:rPr>
      </w:pPr>
      <w:r>
        <w:rPr>
          <w:noProof/>
        </w:rPr>
        <w:t>KI #1.3: Finer granular authorization</w:t>
      </w:r>
    </w:p>
    <w:p w14:paraId="25F5764D" w14:textId="77777777" w:rsidR="00DC612E" w:rsidRDefault="00DC612E" w:rsidP="00DC612E">
      <w:pPr>
        <w:pStyle w:val="TOC4"/>
        <w:numPr>
          <w:ilvl w:val="0"/>
          <w:numId w:val="11"/>
        </w:numPr>
        <w:rPr>
          <w:rFonts w:asciiTheme="minorHAnsi" w:hAnsiTheme="minorHAnsi" w:cstheme="minorBidi"/>
          <w:noProof/>
          <w:kern w:val="2"/>
          <w:sz w:val="22"/>
          <w:szCs w:val="22"/>
          <w:lang w:val="en-US"/>
          <w14:ligatures w14:val="standardContextual"/>
        </w:rPr>
      </w:pPr>
      <w:r>
        <w:rPr>
          <w:noProof/>
        </w:rPr>
        <w:t>KI #2: CAPIF interconnection security</w:t>
      </w:r>
    </w:p>
    <w:p w14:paraId="54C82291" w14:textId="77777777" w:rsidR="00DC612E" w:rsidRDefault="00DC612E" w:rsidP="00DC612E">
      <w:pPr>
        <w:pStyle w:val="TOC2"/>
        <w:numPr>
          <w:ilvl w:val="0"/>
          <w:numId w:val="11"/>
        </w:numPr>
        <w:rPr>
          <w:rFonts w:asciiTheme="minorHAnsi" w:hAnsiTheme="minorHAnsi" w:cstheme="minorBidi"/>
          <w:noProof/>
          <w:kern w:val="2"/>
          <w:sz w:val="22"/>
          <w:szCs w:val="22"/>
          <w:lang w:val="en-US"/>
          <w14:ligatures w14:val="standardContextual"/>
        </w:rPr>
      </w:pPr>
      <w:r>
        <w:rPr>
          <w:noProof/>
        </w:rPr>
        <w:t>KI #3: Authorizing API invoker on one UE accessing resources related to another UE</w:t>
      </w:r>
    </w:p>
    <w:p w14:paraId="1CE2F02A" w14:textId="77777777" w:rsidR="00DC612E" w:rsidRDefault="00DC612E" w:rsidP="00DC612E">
      <w:pPr>
        <w:pStyle w:val="TOC2"/>
        <w:numPr>
          <w:ilvl w:val="0"/>
          <w:numId w:val="11"/>
        </w:numPr>
        <w:rPr>
          <w:rFonts w:asciiTheme="minorHAnsi" w:hAnsiTheme="minorHAnsi" w:cstheme="minorBidi"/>
          <w:noProof/>
          <w:kern w:val="2"/>
          <w:sz w:val="22"/>
          <w:szCs w:val="22"/>
          <w:lang w:val="en-US"/>
          <w14:ligatures w14:val="standardContextual"/>
        </w:rPr>
      </w:pPr>
      <w:r>
        <w:rPr>
          <w:noProof/>
        </w:rPr>
        <w:t xml:space="preserve">KI </w:t>
      </w:r>
      <w:r w:rsidRPr="000A4403">
        <w:rPr>
          <w:noProof/>
        </w:rPr>
        <w:t>#4: Nested API invocation</w:t>
      </w:r>
    </w:p>
    <w:p w14:paraId="49244CC8" w14:textId="77777777" w:rsidR="00DC612E" w:rsidRDefault="00DC612E" w:rsidP="00DC612E">
      <w:pPr>
        <w:pStyle w:val="TOC2"/>
        <w:numPr>
          <w:ilvl w:val="0"/>
          <w:numId w:val="11"/>
        </w:numPr>
        <w:spacing w:after="180"/>
        <w:ind w:left="714" w:hanging="357"/>
        <w:rPr>
          <w:rFonts w:asciiTheme="minorHAnsi" w:hAnsiTheme="minorHAnsi" w:cstheme="minorBidi"/>
          <w:noProof/>
          <w:kern w:val="2"/>
          <w:sz w:val="22"/>
          <w:szCs w:val="22"/>
          <w:lang w:val="en-US"/>
          <w14:ligatures w14:val="standardContextual"/>
        </w:rPr>
      </w:pPr>
      <w:r>
        <w:rPr>
          <w:noProof/>
        </w:rPr>
        <w:t>KI #5: Authenticating multiple API invokers of the same Resource Owner</w:t>
      </w:r>
    </w:p>
    <w:p w14:paraId="10A2601D" w14:textId="77777777" w:rsidR="00DC612E" w:rsidRDefault="00DC612E" w:rsidP="00DC612E">
      <w:pPr>
        <w:rPr>
          <w:iCs/>
        </w:rPr>
      </w:pPr>
      <w:r>
        <w:rPr>
          <w:iCs/>
        </w:rPr>
        <w:t>All these key issues are closely related to the study in SA6.</w:t>
      </w:r>
    </w:p>
    <w:p w14:paraId="42F8392C" w14:textId="404DE8A4" w:rsidR="00FD64A6" w:rsidRDefault="00DC612E" w:rsidP="00DC612E">
      <w:pPr>
        <w:rPr>
          <w:iCs/>
        </w:rPr>
      </w:pPr>
      <w:r>
        <w:rPr>
          <w:iCs/>
        </w:rPr>
        <w:t xml:space="preserve">As to the specific questions, the answers from </w:t>
      </w:r>
      <w:r w:rsidRPr="003A027B">
        <w:rPr>
          <w:iCs/>
        </w:rPr>
        <w:t xml:space="preserve">SA3 </w:t>
      </w:r>
      <w:r>
        <w:rPr>
          <w:iCs/>
        </w:rPr>
        <w:t xml:space="preserve">are provided </w:t>
      </w:r>
      <w:r>
        <w:rPr>
          <w:iCs/>
          <w:lang w:eastAsia="zh-CN"/>
        </w:rPr>
        <w:t>as follows</w:t>
      </w:r>
      <w:r w:rsidR="00FD64A6">
        <w:rPr>
          <w:iCs/>
        </w:rPr>
        <w:t xml:space="preserve">: </w:t>
      </w:r>
    </w:p>
    <w:p w14:paraId="04DE31B8" w14:textId="3FCD5176" w:rsidR="005C071A" w:rsidRPr="005C071A" w:rsidRDefault="005C071A" w:rsidP="005C071A">
      <w:pPr>
        <w:pStyle w:val="ListParagraph"/>
        <w:numPr>
          <w:ilvl w:val="0"/>
          <w:numId w:val="8"/>
        </w:numPr>
        <w:rPr>
          <w:rFonts w:eastAsiaTheme="minorEastAsia"/>
          <w:b/>
          <w:iCs/>
          <w:lang w:val="en-US" w:eastAsia="zh-CN"/>
        </w:rPr>
      </w:pPr>
      <w:r w:rsidRPr="005C071A">
        <w:rPr>
          <w:rFonts w:eastAsiaTheme="minorEastAsia"/>
          <w:b/>
          <w:iCs/>
          <w:lang w:val="en-US" w:eastAsia="zh-CN"/>
        </w:rPr>
        <w:t xml:space="preserve">Q1: </w:t>
      </w:r>
      <w:r w:rsidR="00DC612E" w:rsidRPr="007179A7">
        <w:rPr>
          <w:rFonts w:eastAsiaTheme="minorEastAsia"/>
          <w:b/>
          <w:iCs/>
          <w:lang w:val="en-US" w:eastAsia="zh-CN"/>
        </w:rPr>
        <w:t>General: There several concepts being discussed in SA6 including “user consent”, “resource owner consent”, “resource owner authorization”, SA6 would like to ask SA3 whether they consider them to be equivalent concepts?</w:t>
      </w:r>
      <w:r w:rsidR="00517C10">
        <w:rPr>
          <w:rFonts w:eastAsiaTheme="minorEastAsia"/>
          <w:b/>
          <w:iCs/>
          <w:lang w:val="en-US" w:eastAsia="zh-CN"/>
        </w:rPr>
        <w:t xml:space="preserve"> </w:t>
      </w:r>
    </w:p>
    <w:p w14:paraId="2A3F862C" w14:textId="7AC116EB" w:rsidR="00FD64A6" w:rsidRDefault="005C071A" w:rsidP="00FD64A6">
      <w:r w:rsidRPr="005C071A">
        <w:rPr>
          <w:rFonts w:eastAsiaTheme="minorEastAsia"/>
          <w:b/>
          <w:lang w:val="en-US"/>
        </w:rPr>
        <w:t>[SA3</w:t>
      </w:r>
      <w:r w:rsidRPr="005C071A">
        <w:rPr>
          <w:rFonts w:eastAsiaTheme="minorEastAsia"/>
          <w:lang w:val="en-US"/>
        </w:rPr>
        <w:t xml:space="preserve">]: </w:t>
      </w:r>
      <w:r w:rsidR="00517C10">
        <w:rPr>
          <w:rFonts w:eastAsiaTheme="minorEastAsia"/>
          <w:lang w:val="en-US"/>
        </w:rPr>
        <w:t>No, these concepts are different</w:t>
      </w:r>
      <w:r w:rsidR="00517C10">
        <w:t>.</w:t>
      </w:r>
      <w:r w:rsidR="00FD64A6">
        <w:t xml:space="preserve"> </w:t>
      </w:r>
    </w:p>
    <w:p w14:paraId="4B413540" w14:textId="77777777" w:rsidR="00517C10" w:rsidRDefault="00517C10" w:rsidP="00517C10">
      <w:r w:rsidRPr="00517C10">
        <w:rPr>
          <w:color w:val="000000" w:themeColor="text1"/>
        </w:rPr>
        <w:t>The “user consent” refers to the framework in the Annex V of TS33.501, which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The User consent framework allows operators to fulfil regularity requirements including operator specific regulations and privacy related regulations.</w:t>
      </w:r>
      <w:r w:rsidRPr="00375C19">
        <w:t xml:space="preserve"> </w:t>
      </w:r>
    </w:p>
    <w:p w14:paraId="1FA4C7AC" w14:textId="77777777" w:rsidR="00517C10" w:rsidRPr="00517C10" w:rsidRDefault="00517C10" w:rsidP="00517C10">
      <w:pPr>
        <w:rPr>
          <w:color w:val="000000" w:themeColor="text1"/>
        </w:rPr>
      </w:pPr>
      <w:r w:rsidRPr="00517C10">
        <w:rPr>
          <w:color w:val="000000" w:themeColor="text1"/>
        </w:rPr>
        <w:t>The “resource owner authorization” refers to the mechanisms specified (Rel-18) in TS 33.122 and TS 23.222 in support of RNAA (Resource owner-aware Northbound API Access). RNAA is not only about getting permission from the resource owner for exposing privacy-related information, but also about providing permission from the resource owner for allowing access to the resources of the resource owner to execute update, create, delete resources operations. The resource owner does not have to be the subscription owner, it can be a user, subscription owner, enterprise etc.</w:t>
      </w:r>
      <w:r w:rsidRPr="00517C10" w:rsidDel="002C5509">
        <w:rPr>
          <w:color w:val="000000" w:themeColor="text1"/>
        </w:rPr>
        <w:t xml:space="preserve"> </w:t>
      </w:r>
    </w:p>
    <w:p w14:paraId="0F8CC8C9" w14:textId="6B8A0DA6" w:rsidR="00517C10" w:rsidRPr="00517C10" w:rsidRDefault="00517C10" w:rsidP="00517C10">
      <w:pPr>
        <w:rPr>
          <w:color w:val="000000" w:themeColor="text1"/>
        </w:rPr>
      </w:pPr>
      <w:r w:rsidRPr="00517C10">
        <w:rPr>
          <w:color w:val="000000" w:themeColor="text1"/>
        </w:rPr>
        <w:t xml:space="preserve">The “resource owner consent” </w:t>
      </w:r>
      <w:r w:rsidR="0015607D">
        <w:rPr>
          <w:rFonts w:hint="eastAsia"/>
          <w:lang w:eastAsia="zh-CN"/>
        </w:rPr>
        <w:t>is</w:t>
      </w:r>
      <w:r w:rsidR="0015607D">
        <w:t xml:space="preserve"> </w:t>
      </w:r>
      <w:r w:rsidR="0015607D">
        <w:rPr>
          <w:rFonts w:hint="eastAsia"/>
          <w:lang w:eastAsia="zh-CN"/>
        </w:rPr>
        <w:t>ne</w:t>
      </w:r>
      <w:r w:rsidR="0015607D">
        <w:t xml:space="preserve">ither defined nor used in </w:t>
      </w:r>
      <w:r w:rsidRPr="00517C10">
        <w:rPr>
          <w:color w:val="000000" w:themeColor="text1"/>
        </w:rPr>
        <w:t xml:space="preserve">SA3. </w:t>
      </w:r>
      <w:r w:rsidR="00151BED">
        <w:rPr>
          <w:color w:val="000000" w:themeColor="text1"/>
        </w:rPr>
        <w:t xml:space="preserve">The term is not necessary from SA3’s perspective and it is </w:t>
      </w:r>
      <w:r w:rsidRPr="00517C10">
        <w:rPr>
          <w:color w:val="000000" w:themeColor="text1"/>
        </w:rPr>
        <w:t xml:space="preserve">recommended not to </w:t>
      </w:r>
      <w:r w:rsidR="00151BED">
        <w:rPr>
          <w:color w:val="000000" w:themeColor="text1"/>
        </w:rPr>
        <w:t xml:space="preserve">be </w:t>
      </w:r>
      <w:r w:rsidRPr="00517C10">
        <w:rPr>
          <w:color w:val="000000" w:themeColor="text1"/>
        </w:rPr>
        <w:t>use</w:t>
      </w:r>
      <w:r w:rsidR="00151BED">
        <w:rPr>
          <w:color w:val="000000" w:themeColor="text1"/>
        </w:rPr>
        <w:t>d</w:t>
      </w:r>
      <w:r w:rsidRPr="00517C10">
        <w:rPr>
          <w:color w:val="000000" w:themeColor="text1"/>
        </w:rPr>
        <w:t xml:space="preserve"> </w:t>
      </w:r>
      <w:r w:rsidR="0015607D">
        <w:rPr>
          <w:color w:val="000000" w:themeColor="text1"/>
        </w:rPr>
        <w:t xml:space="preserve">to avoid confusion. </w:t>
      </w:r>
    </w:p>
    <w:p w14:paraId="1A706A78" w14:textId="35F397D6" w:rsidR="005C071A" w:rsidRPr="005C071A" w:rsidRDefault="005C071A" w:rsidP="005C071A">
      <w:pPr>
        <w:pStyle w:val="ListParagraph"/>
        <w:numPr>
          <w:ilvl w:val="0"/>
          <w:numId w:val="8"/>
        </w:numPr>
        <w:rPr>
          <w:rFonts w:eastAsiaTheme="minorEastAsia"/>
          <w:b/>
          <w:iCs/>
          <w:lang w:val="en-US" w:eastAsia="zh-CN"/>
        </w:rPr>
      </w:pPr>
      <w:r w:rsidRPr="005C071A">
        <w:rPr>
          <w:rFonts w:eastAsiaTheme="minorEastAsia"/>
          <w:b/>
          <w:iCs/>
          <w:lang w:val="en-US" w:eastAsia="zh-CN"/>
        </w:rPr>
        <w:lastRenderedPageBreak/>
        <w:t xml:space="preserve">Q2: </w:t>
      </w:r>
      <w:r w:rsidR="0015607D" w:rsidRPr="002F386E">
        <w:rPr>
          <w:rFonts w:eastAsiaTheme="minorEastAsia"/>
          <w:b/>
          <w:iCs/>
          <w:lang w:val="en-US" w:eastAsia="zh-CN"/>
        </w:rPr>
        <w:t>Key Issue #1: Whether SA3 would consider supporting enhancements to assist an AEF in obtaining the purpose of data processing before data processing commences in Rel-19?</w:t>
      </w:r>
    </w:p>
    <w:p w14:paraId="109AB43F" w14:textId="2D29620A" w:rsidR="00EB49D8" w:rsidRDefault="00EB49D8" w:rsidP="00EB49D8">
      <w:pPr>
        <w:rPr>
          <w:lang w:val="en-US"/>
        </w:rPr>
      </w:pPr>
      <w:r w:rsidRPr="002B62AC">
        <w:rPr>
          <w:rFonts w:eastAsiaTheme="minorEastAsia"/>
          <w:b/>
          <w:lang w:val="en-US"/>
        </w:rPr>
        <w:t>[SA3</w:t>
      </w:r>
      <w:r w:rsidRPr="002B62AC">
        <w:rPr>
          <w:rFonts w:eastAsiaTheme="minorEastAsia"/>
          <w:lang w:val="en-US"/>
        </w:rPr>
        <w:t>]:</w:t>
      </w:r>
      <w:r>
        <w:rPr>
          <w:rFonts w:eastAsiaTheme="minorEastAsia"/>
          <w:lang w:val="en-US"/>
        </w:rPr>
        <w:t xml:space="preserve"> </w:t>
      </w:r>
      <w:r w:rsidRPr="00EB49D8">
        <w:t>An AEF may request</w:t>
      </w:r>
      <w:r>
        <w:rPr>
          <w:lang w:val="en-US"/>
        </w:rPr>
        <w:t xml:space="preserve"> </w:t>
      </w:r>
      <w:r>
        <w:rPr>
          <w:color w:val="000000" w:themeColor="text1"/>
        </w:rPr>
        <w:t>the</w:t>
      </w:r>
      <w:r w:rsidRPr="00344603">
        <w:rPr>
          <w:color w:val="000000" w:themeColor="text1"/>
        </w:rPr>
        <w:t xml:space="preserve"> subscriber-related data</w:t>
      </w:r>
      <w:r>
        <w:rPr>
          <w:color w:val="000000" w:themeColor="text1"/>
        </w:rPr>
        <w:t xml:space="preserve"> from UDM as long as it follows the framework specified in the </w:t>
      </w:r>
      <w:r w:rsidRPr="00344603">
        <w:rPr>
          <w:color w:val="000000" w:themeColor="text1"/>
        </w:rPr>
        <w:t xml:space="preserve">Annex V </w:t>
      </w:r>
      <w:r>
        <w:rPr>
          <w:color w:val="000000" w:themeColor="text1"/>
        </w:rPr>
        <w:t>of</w:t>
      </w:r>
      <w:r w:rsidRPr="00344603">
        <w:rPr>
          <w:color w:val="000000" w:themeColor="text1"/>
        </w:rPr>
        <w:t xml:space="preserve"> TS33.501</w:t>
      </w:r>
      <w:r>
        <w:rPr>
          <w:color w:val="000000" w:themeColor="text1"/>
        </w:rPr>
        <w:t xml:space="preserve">. However, SA3 does not support to enhance the </w:t>
      </w:r>
      <w:r>
        <w:rPr>
          <w:rFonts w:hint="eastAsia"/>
          <w:color w:val="000000" w:themeColor="text1"/>
          <w:lang w:eastAsia="zh-CN"/>
        </w:rPr>
        <w:t>user</w:t>
      </w:r>
      <w:r>
        <w:rPr>
          <w:color w:val="000000" w:themeColor="text1"/>
        </w:rPr>
        <w:t xml:space="preserve"> consent framework</w:t>
      </w:r>
      <w:r w:rsidR="00710AF4">
        <w:rPr>
          <w:color w:val="000000" w:themeColor="text1"/>
        </w:rPr>
        <w:t xml:space="preserve"> from other working groups,</w:t>
      </w:r>
      <w:r>
        <w:rPr>
          <w:color w:val="000000" w:themeColor="text1"/>
        </w:rPr>
        <w:t xml:space="preserve"> which should be done</w:t>
      </w:r>
      <w:r>
        <w:rPr>
          <w:color w:val="000000" w:themeColor="text1"/>
        </w:rPr>
        <w:t>,</w:t>
      </w:r>
      <w:r>
        <w:rPr>
          <w:color w:val="000000" w:themeColor="text1"/>
        </w:rPr>
        <w:t xml:space="preserve"> if required</w:t>
      </w:r>
      <w:r>
        <w:rPr>
          <w:color w:val="000000" w:themeColor="text1"/>
        </w:rPr>
        <w:t xml:space="preserve">, </w:t>
      </w:r>
      <w:r>
        <w:rPr>
          <w:color w:val="000000" w:themeColor="text1"/>
        </w:rPr>
        <w:t xml:space="preserve">in SA3. </w:t>
      </w:r>
    </w:p>
    <w:p w14:paraId="1A018D76" w14:textId="77777777" w:rsidR="00EB49D8" w:rsidRDefault="00EB49D8" w:rsidP="00EB49D8">
      <w:pPr>
        <w:pStyle w:val="ListParagraph"/>
        <w:numPr>
          <w:ilvl w:val="0"/>
          <w:numId w:val="8"/>
        </w:numPr>
        <w:rPr>
          <w:rFonts w:eastAsiaTheme="minorEastAsia"/>
          <w:b/>
          <w:iCs/>
          <w:lang w:val="en-US" w:eastAsia="zh-CN"/>
        </w:rPr>
      </w:pPr>
      <w:r w:rsidRPr="00384A28">
        <w:rPr>
          <w:rFonts w:eastAsiaTheme="minorEastAsia"/>
          <w:b/>
          <w:iCs/>
          <w:lang w:val="en-US" w:eastAsia="zh-CN"/>
        </w:rPr>
        <w:t>Q</w:t>
      </w:r>
      <w:r>
        <w:rPr>
          <w:rFonts w:eastAsiaTheme="minorEastAsia"/>
          <w:b/>
          <w:iCs/>
          <w:lang w:val="en-US" w:eastAsia="zh-CN"/>
        </w:rPr>
        <w:t>3</w:t>
      </w:r>
      <w:r w:rsidRPr="00384A28">
        <w:rPr>
          <w:rFonts w:eastAsiaTheme="minorEastAsia"/>
          <w:b/>
          <w:iCs/>
          <w:lang w:val="en-US" w:eastAsia="zh-CN"/>
        </w:rPr>
        <w:t xml:space="preserve">: </w:t>
      </w:r>
      <w:r w:rsidRPr="002F386E">
        <w:rPr>
          <w:rFonts w:eastAsiaTheme="minorEastAsia"/>
          <w:b/>
          <w:iCs/>
          <w:lang w:val="en-US" w:eastAsia="zh-CN"/>
        </w:rPr>
        <w:t>Key Issue #</w:t>
      </w:r>
      <w:r>
        <w:rPr>
          <w:rFonts w:eastAsiaTheme="minorEastAsia"/>
          <w:b/>
          <w:iCs/>
          <w:lang w:val="en-US" w:eastAsia="zh-CN"/>
        </w:rPr>
        <w:t>2</w:t>
      </w:r>
      <w:r w:rsidRPr="002F386E">
        <w:rPr>
          <w:rFonts w:eastAsiaTheme="minorEastAsia"/>
          <w:b/>
          <w:iCs/>
          <w:lang w:val="en-US" w:eastAsia="zh-CN"/>
        </w:rPr>
        <w:t>: Key Issue #2: Whether SA3 would consider providing the security aspects related to address Single sign-on (SSO) in Rel-19?</w:t>
      </w:r>
      <w:r>
        <w:rPr>
          <w:rFonts w:eastAsiaTheme="minorEastAsia"/>
          <w:b/>
          <w:iCs/>
          <w:lang w:val="en-US" w:eastAsia="zh-CN"/>
        </w:rPr>
        <w:t xml:space="preserve"> </w:t>
      </w:r>
    </w:p>
    <w:p w14:paraId="489CA0AA" w14:textId="3AF9031A" w:rsidR="00EB49D8" w:rsidRPr="002F386E" w:rsidRDefault="00EB49D8" w:rsidP="00EB49D8">
      <w:pPr>
        <w:rPr>
          <w:rFonts w:eastAsiaTheme="minorEastAsia"/>
          <w:b/>
          <w:iCs/>
          <w:lang w:val="en-US" w:eastAsia="zh-CN"/>
        </w:rPr>
      </w:pPr>
      <w:r w:rsidRPr="000A27E5">
        <w:rPr>
          <w:rFonts w:eastAsiaTheme="minorEastAsia"/>
          <w:b/>
          <w:lang w:val="en-US"/>
        </w:rPr>
        <w:t>[SA3</w:t>
      </w:r>
      <w:r w:rsidRPr="000A27E5">
        <w:rPr>
          <w:rFonts w:eastAsiaTheme="minorEastAsia"/>
          <w:lang w:val="en-US"/>
        </w:rPr>
        <w:t xml:space="preserve">]: </w:t>
      </w:r>
      <w:r w:rsidRPr="000A27E5">
        <w:t>SA3 would only address key issues listed above</w:t>
      </w:r>
      <w:r w:rsidR="00D66F44">
        <w:t xml:space="preserve"> given TU constraints in Rel-19</w:t>
      </w:r>
      <w:r w:rsidRPr="000A27E5">
        <w:t xml:space="preserve">. </w:t>
      </w:r>
      <w:r w:rsidR="00D66F44">
        <w:t xml:space="preserve">The </w:t>
      </w:r>
      <w:r w:rsidRPr="000A27E5">
        <w:t xml:space="preserve">SSO would not be addressed unless it </w:t>
      </w:r>
      <w:r w:rsidRPr="000A27E5">
        <w:rPr>
          <w:lang w:val="en-US"/>
        </w:rPr>
        <w:t xml:space="preserve">is </w:t>
      </w:r>
      <w:r w:rsidR="00D66F44">
        <w:rPr>
          <w:lang w:val="en-US"/>
        </w:rPr>
        <w:t>relevant</w:t>
      </w:r>
      <w:r w:rsidRPr="000A27E5">
        <w:rPr>
          <w:lang w:val="en-US"/>
        </w:rPr>
        <w:t xml:space="preserve"> to one of </w:t>
      </w:r>
      <w:r w:rsidR="00D66F44">
        <w:rPr>
          <w:lang w:val="en-US"/>
        </w:rPr>
        <w:t>the</w:t>
      </w:r>
      <w:r w:rsidRPr="000A27E5">
        <w:rPr>
          <w:lang w:val="en-US"/>
        </w:rPr>
        <w:t xml:space="preserve"> key issues</w:t>
      </w:r>
      <w:r w:rsidR="00D66F44">
        <w:rPr>
          <w:lang w:val="en-US"/>
        </w:rPr>
        <w:t xml:space="preserve"> above</w:t>
      </w:r>
      <w:r w:rsidRPr="000A27E5">
        <w:rPr>
          <w:lang w:val="en-US"/>
        </w:rPr>
        <w:t>.</w:t>
      </w:r>
      <w:r>
        <w:rPr>
          <w:lang w:val="en-US"/>
        </w:rPr>
        <w:t xml:space="preserve"> </w:t>
      </w:r>
    </w:p>
    <w:p w14:paraId="3BCC6776" w14:textId="77777777" w:rsidR="00EB49D8" w:rsidRDefault="00EB49D8" w:rsidP="00EB49D8">
      <w:pPr>
        <w:pStyle w:val="ListParagraph"/>
        <w:numPr>
          <w:ilvl w:val="0"/>
          <w:numId w:val="8"/>
        </w:numPr>
        <w:rPr>
          <w:rFonts w:eastAsiaTheme="minorEastAsia"/>
          <w:b/>
          <w:iCs/>
          <w:lang w:val="en-US" w:eastAsia="zh-CN"/>
        </w:rPr>
      </w:pPr>
      <w:r w:rsidRPr="00384A28">
        <w:rPr>
          <w:rFonts w:eastAsiaTheme="minorEastAsia"/>
          <w:b/>
          <w:iCs/>
          <w:lang w:val="en-US" w:eastAsia="zh-CN"/>
        </w:rPr>
        <w:t>Q</w:t>
      </w:r>
      <w:r>
        <w:rPr>
          <w:rFonts w:eastAsiaTheme="minorEastAsia"/>
          <w:b/>
          <w:iCs/>
          <w:lang w:val="en-US" w:eastAsia="zh-CN"/>
        </w:rPr>
        <w:t>4</w:t>
      </w:r>
      <w:r w:rsidRPr="00384A28">
        <w:rPr>
          <w:rFonts w:eastAsiaTheme="minorEastAsia"/>
          <w:b/>
          <w:iCs/>
          <w:lang w:val="en-US" w:eastAsia="zh-CN"/>
        </w:rPr>
        <w:t xml:space="preserve">: </w:t>
      </w:r>
      <w:r w:rsidRPr="002F386E">
        <w:rPr>
          <w:rFonts w:eastAsiaTheme="minorEastAsia"/>
          <w:b/>
          <w:iCs/>
          <w:lang w:val="en-US" w:eastAsia="zh-CN"/>
        </w:rPr>
        <w:t>Key Issue #4: Whether SA3 would consider addressing CAPIF interconnection security aspects for AEF service API(s) exposed via CAPIF-6/6e in Rel-19?</w:t>
      </w:r>
    </w:p>
    <w:p w14:paraId="2BA9DB35" w14:textId="7D189730" w:rsidR="00EB49D8" w:rsidRPr="002F386E" w:rsidRDefault="00EB49D8" w:rsidP="00EB49D8">
      <w:pPr>
        <w:rPr>
          <w:rFonts w:eastAsiaTheme="minorEastAsia"/>
          <w:b/>
          <w:iCs/>
          <w:lang w:val="en-US" w:eastAsia="zh-CN"/>
        </w:rPr>
      </w:pPr>
      <w:r w:rsidRPr="002F386E">
        <w:rPr>
          <w:rFonts w:eastAsiaTheme="minorEastAsia"/>
          <w:b/>
          <w:lang w:val="en-US"/>
        </w:rPr>
        <w:t>[SA3</w:t>
      </w:r>
      <w:r w:rsidRPr="002F386E">
        <w:rPr>
          <w:rFonts w:eastAsiaTheme="minorEastAsia"/>
          <w:lang w:val="en-US"/>
        </w:rPr>
        <w:t xml:space="preserve">]: </w:t>
      </w:r>
      <w:r>
        <w:t xml:space="preserve">Yes, this will be addressed under </w:t>
      </w:r>
      <w:r w:rsidR="00D66F44">
        <w:t xml:space="preserve">the </w:t>
      </w:r>
      <w:r>
        <w:t xml:space="preserve">KI#2 in SA3. </w:t>
      </w:r>
    </w:p>
    <w:p w14:paraId="2E4B42B7" w14:textId="77777777" w:rsidR="00EB49D8" w:rsidRDefault="00EB49D8" w:rsidP="00EB49D8">
      <w:pPr>
        <w:pStyle w:val="ListParagraph"/>
        <w:numPr>
          <w:ilvl w:val="0"/>
          <w:numId w:val="8"/>
        </w:numPr>
        <w:rPr>
          <w:rFonts w:eastAsiaTheme="minorEastAsia"/>
          <w:b/>
          <w:iCs/>
          <w:lang w:val="en-US" w:eastAsia="zh-CN"/>
        </w:rPr>
      </w:pPr>
      <w:r w:rsidRPr="00384A28">
        <w:rPr>
          <w:rFonts w:eastAsiaTheme="minorEastAsia"/>
          <w:b/>
          <w:iCs/>
          <w:lang w:val="en-US" w:eastAsia="zh-CN"/>
        </w:rPr>
        <w:t>Q</w:t>
      </w:r>
      <w:r>
        <w:rPr>
          <w:rFonts w:eastAsiaTheme="minorEastAsia"/>
          <w:b/>
          <w:iCs/>
          <w:lang w:val="en-US" w:eastAsia="zh-CN"/>
        </w:rPr>
        <w:t>5</w:t>
      </w:r>
      <w:r w:rsidRPr="00384A28">
        <w:rPr>
          <w:rFonts w:eastAsiaTheme="minorEastAsia"/>
          <w:b/>
          <w:iCs/>
          <w:lang w:val="en-US" w:eastAsia="zh-CN"/>
        </w:rPr>
        <w:t xml:space="preserve">: </w:t>
      </w:r>
      <w:r w:rsidRPr="002F386E">
        <w:rPr>
          <w:rFonts w:eastAsiaTheme="minorEastAsia"/>
          <w:b/>
          <w:iCs/>
          <w:lang w:val="en-US" w:eastAsia="zh-CN"/>
        </w:rPr>
        <w:t>Key Issue #</w:t>
      </w:r>
      <w:r>
        <w:rPr>
          <w:rFonts w:eastAsiaTheme="minorEastAsia"/>
          <w:b/>
          <w:iCs/>
          <w:lang w:val="en-US" w:eastAsia="zh-CN"/>
        </w:rPr>
        <w:t>6</w:t>
      </w:r>
      <w:r w:rsidRPr="002F386E">
        <w:rPr>
          <w:rFonts w:eastAsiaTheme="minorEastAsia"/>
          <w:b/>
          <w:iCs/>
          <w:lang w:val="en-US" w:eastAsia="zh-CN"/>
        </w:rPr>
        <w:t>: Key Issue #6: Whether SA3 would consider lifting the restriction that a UE-deployed API invoker can only access resources owned by the user of that UE?</w:t>
      </w:r>
    </w:p>
    <w:p w14:paraId="184B44BE" w14:textId="6DB95A8E" w:rsidR="00EB49D8" w:rsidRPr="00384A28" w:rsidRDefault="00EB49D8" w:rsidP="00EB49D8">
      <w:pPr>
        <w:rPr>
          <w:rFonts w:eastAsiaTheme="minorEastAsia"/>
          <w:b/>
          <w:iCs/>
          <w:lang w:val="en-US" w:eastAsia="zh-CN"/>
        </w:rPr>
      </w:pPr>
      <w:r w:rsidRPr="002B62AC">
        <w:rPr>
          <w:rFonts w:eastAsiaTheme="minorEastAsia"/>
          <w:b/>
          <w:lang w:val="en-US"/>
        </w:rPr>
        <w:t>[SA3</w:t>
      </w:r>
      <w:r w:rsidRPr="002B62AC">
        <w:rPr>
          <w:rFonts w:eastAsiaTheme="minorEastAsia"/>
          <w:lang w:val="en-US"/>
        </w:rPr>
        <w:t>]:</w:t>
      </w:r>
      <w:r>
        <w:rPr>
          <w:rFonts w:eastAsiaTheme="minorEastAsia"/>
          <w:lang w:val="en-US"/>
        </w:rPr>
        <w:t xml:space="preserve"> </w:t>
      </w:r>
      <w:r>
        <w:t xml:space="preserve">Yes, this will be addressed under </w:t>
      </w:r>
      <w:r w:rsidR="00D66F44">
        <w:t xml:space="preserve">the </w:t>
      </w:r>
      <w:r>
        <w:t xml:space="preserve">KI#3 in SA3. </w:t>
      </w:r>
    </w:p>
    <w:p w14:paraId="1A98F3D5" w14:textId="77777777" w:rsidR="00EB49D8" w:rsidRDefault="00EB49D8" w:rsidP="00EB49D8">
      <w:pPr>
        <w:pStyle w:val="ListParagraph"/>
        <w:numPr>
          <w:ilvl w:val="0"/>
          <w:numId w:val="8"/>
        </w:numPr>
        <w:rPr>
          <w:rFonts w:eastAsiaTheme="minorEastAsia"/>
          <w:b/>
          <w:iCs/>
          <w:lang w:val="en-US" w:eastAsia="zh-CN"/>
        </w:rPr>
      </w:pPr>
      <w:r w:rsidRPr="00384A28">
        <w:rPr>
          <w:rFonts w:eastAsiaTheme="minorEastAsia"/>
          <w:b/>
          <w:iCs/>
          <w:lang w:val="en-US" w:eastAsia="zh-CN"/>
        </w:rPr>
        <w:t>Q</w:t>
      </w:r>
      <w:r>
        <w:rPr>
          <w:rFonts w:eastAsiaTheme="minorEastAsia"/>
          <w:b/>
          <w:iCs/>
          <w:lang w:val="en-US" w:eastAsia="zh-CN"/>
        </w:rPr>
        <w:t>6</w:t>
      </w:r>
      <w:r w:rsidRPr="00384A28">
        <w:rPr>
          <w:rFonts w:eastAsiaTheme="minorEastAsia"/>
          <w:b/>
          <w:iCs/>
          <w:lang w:val="en-US" w:eastAsia="zh-CN"/>
        </w:rPr>
        <w:t xml:space="preserve">: </w:t>
      </w:r>
      <w:r w:rsidRPr="002F386E">
        <w:rPr>
          <w:rFonts w:eastAsiaTheme="minorEastAsia"/>
          <w:b/>
          <w:iCs/>
          <w:lang w:val="en-US" w:eastAsia="zh-CN"/>
        </w:rPr>
        <w:t>Solution #1: Whether SA3 would consider supporting the BFF patten in Rel-19?</w:t>
      </w:r>
    </w:p>
    <w:p w14:paraId="78CEFECD" w14:textId="3C0EDE6C" w:rsidR="00EB49D8" w:rsidRPr="00384A28" w:rsidRDefault="00EB49D8" w:rsidP="00EB49D8">
      <w:pPr>
        <w:rPr>
          <w:rFonts w:eastAsiaTheme="minorEastAsia"/>
          <w:b/>
          <w:iCs/>
          <w:lang w:val="en-US" w:eastAsia="zh-CN"/>
        </w:rPr>
      </w:pPr>
      <w:r w:rsidRPr="00D66F44">
        <w:rPr>
          <w:rFonts w:eastAsiaTheme="minorEastAsia"/>
          <w:b/>
          <w:lang w:val="en-US"/>
        </w:rPr>
        <w:t>[SA3</w:t>
      </w:r>
      <w:r w:rsidRPr="00D66F44">
        <w:rPr>
          <w:rFonts w:eastAsiaTheme="minorEastAsia"/>
          <w:lang w:val="en-US"/>
        </w:rPr>
        <w:t xml:space="preserve">]: </w:t>
      </w:r>
      <w:r w:rsidRPr="00D66F44">
        <w:t xml:space="preserve">SA3 would only address </w:t>
      </w:r>
      <w:r w:rsidR="00D66F44">
        <w:t>the</w:t>
      </w:r>
      <w:r w:rsidRPr="00D66F44">
        <w:t xml:space="preserve"> BFF patten </w:t>
      </w:r>
      <w:r w:rsidR="00D66F44">
        <w:t xml:space="preserve">issue if it </w:t>
      </w:r>
      <w:r w:rsidRPr="00D66F44">
        <w:rPr>
          <w:lang w:val="en-US"/>
        </w:rPr>
        <w:t>is related to one of the</w:t>
      </w:r>
      <w:r w:rsidR="00D66F44">
        <w:rPr>
          <w:lang w:val="en-US"/>
        </w:rPr>
        <w:t xml:space="preserve"> approved</w:t>
      </w:r>
      <w:r w:rsidRPr="00D66F44">
        <w:rPr>
          <w:lang w:val="en-US"/>
        </w:rPr>
        <w:t xml:space="preserve"> key issues</w:t>
      </w:r>
      <w:r w:rsidR="00D66F44">
        <w:rPr>
          <w:lang w:val="en-US"/>
        </w:rPr>
        <w:t xml:space="preserve"> above</w:t>
      </w:r>
      <w:r w:rsidRPr="00D66F44">
        <w:rPr>
          <w:lang w:val="en-US"/>
        </w:rPr>
        <w:t>.</w:t>
      </w:r>
      <w:r>
        <w:rPr>
          <w:lang w:val="en-US"/>
        </w:rPr>
        <w:t xml:space="preserve"> </w:t>
      </w:r>
    </w:p>
    <w:p w14:paraId="3812092A" w14:textId="77777777" w:rsidR="00EB49D8" w:rsidRPr="00384A28" w:rsidRDefault="00EB49D8" w:rsidP="00EB49D8">
      <w:pPr>
        <w:pStyle w:val="ListParagraph"/>
        <w:numPr>
          <w:ilvl w:val="0"/>
          <w:numId w:val="8"/>
        </w:numPr>
        <w:rPr>
          <w:rFonts w:eastAsiaTheme="minorEastAsia"/>
          <w:b/>
          <w:iCs/>
          <w:lang w:val="en-US" w:eastAsia="zh-CN"/>
        </w:rPr>
      </w:pPr>
      <w:r w:rsidRPr="00384A28">
        <w:rPr>
          <w:rFonts w:eastAsiaTheme="minorEastAsia"/>
          <w:b/>
          <w:iCs/>
          <w:lang w:val="en-US" w:eastAsia="zh-CN"/>
        </w:rPr>
        <w:t>Q</w:t>
      </w:r>
      <w:r>
        <w:rPr>
          <w:rFonts w:eastAsiaTheme="minorEastAsia"/>
          <w:b/>
          <w:iCs/>
          <w:lang w:val="en-US" w:eastAsia="zh-CN"/>
        </w:rPr>
        <w:t>7</w:t>
      </w:r>
      <w:r w:rsidRPr="00384A28">
        <w:rPr>
          <w:rFonts w:eastAsiaTheme="minorEastAsia"/>
          <w:b/>
          <w:iCs/>
          <w:lang w:val="en-US" w:eastAsia="zh-CN"/>
        </w:rPr>
        <w:t xml:space="preserve">: </w:t>
      </w:r>
      <w:r w:rsidRPr="002F386E">
        <w:rPr>
          <w:rFonts w:eastAsiaTheme="minorEastAsia"/>
          <w:b/>
          <w:iCs/>
          <w:lang w:val="en-US" w:eastAsia="zh-CN"/>
        </w:rPr>
        <w:t>Solution #2: Whether SA3 would consider supporting a security mechanism to enforce user consent checking at an AEF in Rel-19?</w:t>
      </w:r>
    </w:p>
    <w:p w14:paraId="1FD384CF" w14:textId="3D3A7DB5" w:rsidR="00EB49D8" w:rsidRPr="005C071A" w:rsidRDefault="00EB49D8" w:rsidP="00EB49D8">
      <w:pPr>
        <w:rPr>
          <w:iCs/>
        </w:rPr>
      </w:pPr>
      <w:r w:rsidRPr="002F386E">
        <w:rPr>
          <w:rFonts w:eastAsiaTheme="minorEastAsia"/>
          <w:b/>
          <w:lang w:val="en-US"/>
        </w:rPr>
        <w:t>[SA3</w:t>
      </w:r>
      <w:r w:rsidRPr="002F386E">
        <w:rPr>
          <w:rFonts w:eastAsiaTheme="minorEastAsia"/>
          <w:lang w:val="en-US"/>
        </w:rPr>
        <w:t xml:space="preserve">]: </w:t>
      </w:r>
      <w:r>
        <w:rPr>
          <w:color w:val="000000" w:themeColor="text1"/>
        </w:rPr>
        <w:t xml:space="preserve">SA3 does not </w:t>
      </w:r>
      <w:r w:rsidR="00D66F44">
        <w:rPr>
          <w:color w:val="000000" w:themeColor="text1"/>
        </w:rPr>
        <w:t xml:space="preserve">have a </w:t>
      </w:r>
      <w:r>
        <w:rPr>
          <w:color w:val="000000" w:themeColor="text1"/>
        </w:rPr>
        <w:t xml:space="preserve">plan in Rel-19 to enhance the </w:t>
      </w:r>
      <w:r>
        <w:rPr>
          <w:rFonts w:hint="eastAsia"/>
          <w:color w:val="000000" w:themeColor="text1"/>
          <w:lang w:eastAsia="zh-CN"/>
        </w:rPr>
        <w:t>user</w:t>
      </w:r>
      <w:r>
        <w:rPr>
          <w:color w:val="000000" w:themeColor="text1"/>
        </w:rPr>
        <w:t xml:space="preserve"> consent framework</w:t>
      </w:r>
      <w:r w:rsidR="00D66F44">
        <w:rPr>
          <w:color w:val="000000" w:themeColor="text1"/>
        </w:rPr>
        <w:t xml:space="preserve"> as </w:t>
      </w:r>
      <w:r>
        <w:rPr>
          <w:color w:val="000000" w:themeColor="text1"/>
        </w:rPr>
        <w:t xml:space="preserve">specified in the </w:t>
      </w:r>
      <w:r w:rsidRPr="00344603">
        <w:rPr>
          <w:color w:val="000000" w:themeColor="text1"/>
        </w:rPr>
        <w:t xml:space="preserve">Annex V </w:t>
      </w:r>
      <w:r>
        <w:rPr>
          <w:color w:val="000000" w:themeColor="text1"/>
        </w:rPr>
        <w:t>of</w:t>
      </w:r>
      <w:r w:rsidRPr="00344603">
        <w:rPr>
          <w:color w:val="000000" w:themeColor="text1"/>
        </w:rPr>
        <w:t xml:space="preserve"> TS33.501</w:t>
      </w:r>
      <w:r>
        <w:rPr>
          <w:color w:val="000000" w:themeColor="text1"/>
        </w:rPr>
        <w:t>.</w:t>
      </w:r>
      <w:r w:rsidR="00710AF4">
        <w:rPr>
          <w:color w:val="000000" w:themeColor="text1"/>
        </w:rPr>
        <w:t xml:space="preserve"> SA3 does not support to enhance the </w:t>
      </w:r>
      <w:r w:rsidR="00710AF4">
        <w:rPr>
          <w:rFonts w:hint="eastAsia"/>
          <w:color w:val="000000" w:themeColor="text1"/>
          <w:lang w:eastAsia="zh-CN"/>
        </w:rPr>
        <w:t>user</w:t>
      </w:r>
      <w:r w:rsidR="00710AF4">
        <w:rPr>
          <w:color w:val="000000" w:themeColor="text1"/>
        </w:rPr>
        <w:t xml:space="preserve"> consent framework from other working groups, which should be done, if required, in SA3.</w:t>
      </w:r>
      <w:r w:rsidR="00D66F44">
        <w:rPr>
          <w:color w:val="000000" w:themeColor="text1"/>
        </w:rPr>
        <w:t xml:space="preserve"> </w:t>
      </w:r>
    </w:p>
    <w:p w14:paraId="08AF3A7D" w14:textId="77777777" w:rsidR="00B97703" w:rsidRDefault="002F1940" w:rsidP="000F6242">
      <w:pPr>
        <w:pStyle w:val="Heading1"/>
      </w:pPr>
      <w:r>
        <w:t>2</w:t>
      </w:r>
      <w:r>
        <w:tab/>
      </w:r>
      <w:r w:rsidR="000F6242">
        <w:t>Actions</w:t>
      </w:r>
    </w:p>
    <w:p w14:paraId="45637978" w14:textId="6B9CFCF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071A">
        <w:rPr>
          <w:rFonts w:ascii="Arial" w:hAnsi="Arial" w:cs="Arial"/>
          <w:b/>
        </w:rPr>
        <w:t>GSMA</w:t>
      </w:r>
      <w:r>
        <w:rPr>
          <w:rFonts w:ascii="Arial" w:hAnsi="Arial" w:cs="Arial"/>
          <w:b/>
        </w:rPr>
        <w:t xml:space="preserve"> </w:t>
      </w:r>
    </w:p>
    <w:p w14:paraId="2DEA4E16" w14:textId="39D7E79D" w:rsidR="005C071A" w:rsidRPr="000F6242" w:rsidRDefault="00B97703" w:rsidP="005C071A">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5C071A" w:rsidRPr="00822BD7">
        <w:t xml:space="preserve">SA3 </w:t>
      </w:r>
      <w:r w:rsidR="005C071A">
        <w:t xml:space="preserve">kindly </w:t>
      </w:r>
      <w:r w:rsidR="005C071A" w:rsidRPr="00822BD7">
        <w:t xml:space="preserve">asks </w:t>
      </w:r>
      <w:r w:rsidR="00FF1965">
        <w:t>SA6</w:t>
      </w:r>
      <w:r w:rsidR="005C071A" w:rsidRPr="00822BD7">
        <w:t xml:space="preserve"> to take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A102C4C" w14:textId="37F1113F" w:rsidR="002415C0" w:rsidRPr="008A7D8A" w:rsidRDefault="002415C0" w:rsidP="002F1940">
      <w:pPr>
        <w:rPr>
          <w:lang w:val="fr-FR"/>
        </w:rPr>
      </w:pPr>
      <w:r w:rsidRPr="008A7D8A">
        <w:rPr>
          <w:lang w:val="fr-FR"/>
        </w:rPr>
        <w:t>SA3#119</w:t>
      </w:r>
      <w:r w:rsidRPr="008A7D8A">
        <w:rPr>
          <w:lang w:val="fr-FR"/>
        </w:rPr>
        <w:tab/>
        <w:t>11 - 15 November 2024</w:t>
      </w:r>
      <w:r w:rsidRPr="008A7D8A">
        <w:rPr>
          <w:lang w:val="fr-FR"/>
        </w:rPr>
        <w:tab/>
      </w:r>
      <w:r w:rsidRPr="008A7D8A">
        <w:rPr>
          <w:lang w:val="fr-FR"/>
        </w:rPr>
        <w:tab/>
        <w:t>Orlando (US)</w:t>
      </w:r>
    </w:p>
    <w:p w14:paraId="054FEDCB" w14:textId="196546E0" w:rsidR="006052AD" w:rsidRPr="008A7D8A" w:rsidRDefault="008A7D8A" w:rsidP="002F1940">
      <w:pPr>
        <w:rPr>
          <w:lang w:val="fr-FR"/>
        </w:rPr>
      </w:pPr>
      <w:r w:rsidRPr="008A7D8A">
        <w:rPr>
          <w:lang w:val="fr-FR"/>
        </w:rPr>
        <w:t>SA3#</w:t>
      </w:r>
      <w:r>
        <w:rPr>
          <w:lang w:val="fr-FR"/>
        </w:rPr>
        <w:t>120</w:t>
      </w:r>
      <w:r>
        <w:rPr>
          <w:lang w:val="fr-FR"/>
        </w:rPr>
        <w:tab/>
      </w:r>
      <w:r w:rsidR="00BC0ACC">
        <w:rPr>
          <w:lang w:val="fr-FR"/>
        </w:rPr>
        <w:t>17 – 21 February 2025</w:t>
      </w:r>
      <w:r w:rsidR="00BC0ACC">
        <w:rPr>
          <w:lang w:val="fr-FR"/>
        </w:rPr>
        <w:tab/>
      </w:r>
      <w:r w:rsidR="00BC0ACC">
        <w:rPr>
          <w:lang w:val="fr-FR"/>
        </w:rPr>
        <w:tab/>
        <w:t>Athens (Greece)</w:t>
      </w:r>
    </w:p>
    <w:sectPr w:rsidR="006052AD" w:rsidRPr="008A7D8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FFFE5" w14:textId="77777777" w:rsidR="0063275C" w:rsidRDefault="0063275C">
      <w:pPr>
        <w:spacing w:after="0"/>
      </w:pPr>
      <w:r>
        <w:separator/>
      </w:r>
    </w:p>
  </w:endnote>
  <w:endnote w:type="continuationSeparator" w:id="0">
    <w:p w14:paraId="44EFBE79" w14:textId="77777777" w:rsidR="0063275C" w:rsidRDefault="00632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788A8" w14:textId="77777777" w:rsidR="0063275C" w:rsidRDefault="0063275C">
      <w:pPr>
        <w:spacing w:after="0"/>
      </w:pPr>
      <w:r>
        <w:separator/>
      </w:r>
    </w:p>
  </w:footnote>
  <w:footnote w:type="continuationSeparator" w:id="0">
    <w:p w14:paraId="2D31847A" w14:textId="77777777" w:rsidR="0063275C" w:rsidRDefault="006327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5762EC0"/>
    <w:multiLevelType w:val="hybridMultilevel"/>
    <w:tmpl w:val="4E08F07C"/>
    <w:lvl w:ilvl="0" w:tplc="6AD60FB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F96F22"/>
    <w:multiLevelType w:val="hybridMultilevel"/>
    <w:tmpl w:val="7974C986"/>
    <w:lvl w:ilvl="0" w:tplc="6AD60FB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DF30583"/>
    <w:multiLevelType w:val="hybridMultilevel"/>
    <w:tmpl w:val="8AA45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1D4893"/>
    <w:multiLevelType w:val="hybridMultilevel"/>
    <w:tmpl w:val="F6420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5"/>
  </w:num>
  <w:num w:numId="4">
    <w:abstractNumId w:val="4"/>
  </w:num>
  <w:num w:numId="5">
    <w:abstractNumId w:val="2"/>
  </w:num>
  <w:num w:numId="6">
    <w:abstractNumId w:val="1"/>
  </w:num>
  <w:num w:numId="7">
    <w:abstractNumId w:val="0"/>
  </w:num>
  <w:num w:numId="8">
    <w:abstractNumId w:val="10"/>
  </w:num>
  <w:num w:numId="9">
    <w:abstractNumId w:val="3"/>
  </w:num>
  <w:num w:numId="10">
    <w:abstractNumId w:val="6"/>
  </w:num>
  <w:num w:numId="1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A27E5"/>
    <w:rsid w:val="000B21DF"/>
    <w:rsid w:val="000E6116"/>
    <w:rsid w:val="000E74D3"/>
    <w:rsid w:val="000F6242"/>
    <w:rsid w:val="00103FF1"/>
    <w:rsid w:val="00151BED"/>
    <w:rsid w:val="0015607D"/>
    <w:rsid w:val="00196B59"/>
    <w:rsid w:val="001A14F2"/>
    <w:rsid w:val="001B3A86"/>
    <w:rsid w:val="001B763F"/>
    <w:rsid w:val="00215C2C"/>
    <w:rsid w:val="00220060"/>
    <w:rsid w:val="00226381"/>
    <w:rsid w:val="002415C0"/>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4E65B2"/>
    <w:rsid w:val="004F1117"/>
    <w:rsid w:val="004F32F4"/>
    <w:rsid w:val="00517C10"/>
    <w:rsid w:val="00526DDD"/>
    <w:rsid w:val="005A5F98"/>
    <w:rsid w:val="005B6433"/>
    <w:rsid w:val="005C071A"/>
    <w:rsid w:val="006052AD"/>
    <w:rsid w:val="0063275C"/>
    <w:rsid w:val="006D7D01"/>
    <w:rsid w:val="006F6D1F"/>
    <w:rsid w:val="00710AF4"/>
    <w:rsid w:val="00723127"/>
    <w:rsid w:val="0073766B"/>
    <w:rsid w:val="007B43D4"/>
    <w:rsid w:val="007F4F92"/>
    <w:rsid w:val="008758B0"/>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D6792"/>
    <w:rsid w:val="00AE1B3E"/>
    <w:rsid w:val="00B35644"/>
    <w:rsid w:val="00B724D3"/>
    <w:rsid w:val="00B97703"/>
    <w:rsid w:val="00BA3D66"/>
    <w:rsid w:val="00BC0ACC"/>
    <w:rsid w:val="00C04BFC"/>
    <w:rsid w:val="00C17229"/>
    <w:rsid w:val="00C471CA"/>
    <w:rsid w:val="00C6430F"/>
    <w:rsid w:val="00C652F3"/>
    <w:rsid w:val="00C91EF3"/>
    <w:rsid w:val="00CB2B16"/>
    <w:rsid w:val="00CF6087"/>
    <w:rsid w:val="00D14BB6"/>
    <w:rsid w:val="00D31981"/>
    <w:rsid w:val="00D33624"/>
    <w:rsid w:val="00D66F44"/>
    <w:rsid w:val="00D7484B"/>
    <w:rsid w:val="00DC47B4"/>
    <w:rsid w:val="00DC612E"/>
    <w:rsid w:val="00E003DF"/>
    <w:rsid w:val="00E21616"/>
    <w:rsid w:val="00E2241D"/>
    <w:rsid w:val="00E665BE"/>
    <w:rsid w:val="00EB0BC7"/>
    <w:rsid w:val="00EB49D8"/>
    <w:rsid w:val="00EE31A4"/>
    <w:rsid w:val="00F25496"/>
    <w:rsid w:val="00F667CF"/>
    <w:rsid w:val="00F803BE"/>
    <w:rsid w:val="00FB2E7B"/>
    <w:rsid w:val="00FD64A6"/>
    <w:rsid w:val="00FF19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85919">
      <w:bodyDiv w:val="1"/>
      <w:marLeft w:val="0"/>
      <w:marRight w:val="0"/>
      <w:marTop w:val="0"/>
      <w:marBottom w:val="0"/>
      <w:divBdr>
        <w:top w:val="none" w:sz="0" w:space="0" w:color="auto"/>
        <w:left w:val="none" w:sz="0" w:space="0" w:color="auto"/>
        <w:bottom w:val="none" w:sz="0" w:space="0" w:color="auto"/>
        <w:right w:val="none" w:sz="0" w:space="0" w:color="auto"/>
      </w:divBdr>
    </w:div>
    <w:div w:id="447819617">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2</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Zander Lei</cp:lastModifiedBy>
  <cp:revision>11</cp:revision>
  <cp:lastPrinted>2002-04-23T07:10:00Z</cp:lastPrinted>
  <dcterms:created xsi:type="dcterms:W3CDTF">2024-10-01T03:17:00Z</dcterms:created>
  <dcterms:modified xsi:type="dcterms:W3CDTF">2024-10-01T03:39:00Z</dcterms:modified>
</cp:coreProperties>
</file>